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2" w:rsidRPr="00652A62" w:rsidRDefault="00652A62" w:rsidP="00652A6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652A62">
        <w:rPr>
          <w:rFonts w:ascii="Times New Roman" w:hAnsi="Times New Roman" w:cs="Times New Roman"/>
          <w:b/>
          <w:color w:val="333333"/>
        </w:rPr>
        <w:t>Как рассчитывается плата за горячее водоснабжение. Что такое ГВС нагрев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Начисление платы за горячее водоснабжение состоит из двух частей, или компонентов, каждый из которых выделен в квитанции отдельной строкой – ГВС и ГВС нагрев. Это связано с тем, что в домах Академического приготовление воды производится непосредственно управляющей компанией в индивидуальных тепловых пунктах каждого дома. В процессе приготовления горячей воды используются два вида коммунальных ресурсов – холодная вода и тепловая энергия.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Первый компонент, так называемая 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подача ГВС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– это непосредственно тот объем воды, который прошел через счетчик горячего водоснабжения и был потреблен в помещении за месяц. Либо, если не были сданы показания, или счетчик оказался неисправен или у него вышел срок поверки – объем воды, определенный расчетным путем по среднему или нормативу на количество </w:t>
      </w:r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прописанных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.. Порядок расчета объема подачи ГВС точно такой же, как для холодного водоснабжения. Для расчета стоимости этой услуги применяется тариф на холодную воду, так как у поставщика в данном случае закупается именно холодная вода.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Второй компонент, 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ГВС нагрев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это количество тепловой энергии, которое было затрачено на то, чтобы нагреть объем предоставленной в квартиру холодной воды до температуры горячей. Это количество определяется, исходя из показаний </w:t>
      </w:r>
      <w:proofErr w:type="spell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общедомового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счетчика тепловой энергии.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целом размер платы за горячее водоснабжение рассчитывается по следующей формуле: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ru-RU"/>
        </w:rPr>
        <w:t>i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гв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= 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п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гвi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× </w:t>
      </w:r>
      <w:proofErr w:type="spellStart"/>
      <w:proofErr w:type="gram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</w:t>
      </w:r>
      <w:proofErr w:type="gramEnd"/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хв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+ 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q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ru-RU"/>
        </w:rPr>
        <w:t>v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кр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× 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п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гвi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× 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ru-RU"/>
        </w:rPr>
        <w:t>v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кр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 </w:t>
      </w:r>
      <w:r w:rsidRPr="00652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 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              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где: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V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  <w:lang w:eastAsia="ru-RU"/>
        </w:rPr>
        <w:t>п</w:t>
      </w:r>
      <w:r w:rsidRPr="00652A6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гвi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- объем горячей воды, потребленной за расчетный период (месяц) в квартире или нежилом помещении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T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хв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тариф на холодную воду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q</w:t>
      </w:r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bscript"/>
          <w:lang w:eastAsia="ru-RU"/>
        </w:rPr>
        <w:t>v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кр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- удельный расход тепловой энергии на подогрев воды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V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п</w:t>
      </w:r>
      <w:r w:rsidRPr="00652A62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гвi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- суммарный объем горячей воды, потребленной за расчетный период во всех помещениях дома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T</w:t>
      </w:r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bscript"/>
          <w:lang w:eastAsia="ru-RU"/>
        </w:rPr>
        <w:t>v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кр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тариф на тепловую энергию </w:t>
      </w:r>
    </w:p>
    <w:p w:rsidR="00652A62" w:rsidRPr="00652A62" w:rsidRDefault="00652A62" w:rsidP="00652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Удельный расход тепловой энергии на подогрев воды определяется по формуле 20.1 ПП РФ от 26.12.2016г. №1498  </w:t>
      </w:r>
    </w:p>
    <w:p w:rsidR="00652A62" w:rsidRPr="00652A62" w:rsidRDefault="00652A62" w:rsidP="00652A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q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ru-RU"/>
        </w:rPr>
        <w:t>v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кр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= 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V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кр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vertAlign w:val="superscript"/>
          <w:lang w:eastAsia="ru-RU"/>
        </w:rPr>
        <w:t> 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/ (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Q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ru-RU"/>
        </w:rPr>
        <w:t>гв</w:t>
      </w:r>
      <w:proofErr w:type="spellEnd"/>
      <w:r w:rsidRPr="00652A62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vertAlign w:val="subscript"/>
          <w:lang w:eastAsia="ru-RU"/>
        </w:rPr>
        <w:t> 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+ 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Q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ru-RU"/>
        </w:rPr>
        <w:t>от</w:t>
      </w:r>
      <w:proofErr w:type="spellEnd"/>
      <w:proofErr w:type="gramStart"/>
      <w:r w:rsidRPr="00652A62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vertAlign w:val="subscript"/>
          <w:lang w:eastAsia="ru-RU"/>
        </w:rPr>
        <w:t> 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)</w:t>
      </w:r>
      <w:proofErr w:type="gramEnd"/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 × </w:t>
      </w:r>
      <w:proofErr w:type="spellStart"/>
      <w:r w:rsidRPr="00652A6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N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bscript"/>
          <w:lang w:eastAsia="ru-RU"/>
        </w:rPr>
        <w:t>тэ</w:t>
      </w:r>
      <w:r w:rsidRPr="00652A6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гвс</w:t>
      </w:r>
      <w:proofErr w:type="spellEnd"/>
    </w:p>
    <w:p w:rsidR="00652A62" w:rsidRPr="00652A62" w:rsidRDefault="00652A62" w:rsidP="00652A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где: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spellStart"/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V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  <w:lang w:eastAsia="ru-RU"/>
        </w:rPr>
        <w:t>кр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  <w:lang w:eastAsia="ru-RU"/>
        </w:rPr>
        <w:t xml:space="preserve"> 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объем тепловой энергии по </w:t>
      </w:r>
      <w:proofErr w:type="spell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общедомовому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прибору учета </w:t>
      </w:r>
    </w:p>
    <w:p w:rsidR="00652A62" w:rsidRPr="00652A62" w:rsidRDefault="00652A62" w:rsidP="00652A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Q</w:t>
      </w:r>
      <w:proofErr w:type="gramEnd"/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bscript"/>
          <w:lang w:eastAsia="ru-RU"/>
        </w:rPr>
        <w:t>гв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bscript"/>
          <w:lang w:eastAsia="ru-RU"/>
        </w:rPr>
        <w:t> 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+ </w:t>
      </w:r>
      <w:proofErr w:type="spell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Q</w:t>
      </w:r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bscript"/>
          <w:lang w:eastAsia="ru-RU"/>
        </w:rPr>
        <w:t>от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bscript"/>
          <w:lang w:eastAsia="ru-RU"/>
        </w:rPr>
        <w:t> 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количество тепловой энергии, затраченное на отопление и подогрев воды во всех помещениях дома и на </w:t>
      </w:r>
      <w:proofErr w:type="spell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общедомовые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нужды</w:t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spellStart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N</w:t>
      </w:r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bscript"/>
          <w:lang w:eastAsia="ru-RU"/>
        </w:rPr>
        <w:t>тэ</w:t>
      </w:r>
      <w:r w:rsidRPr="00652A62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  <w:lang w:eastAsia="ru-RU"/>
        </w:rPr>
        <w:t>гвс</w:t>
      </w:r>
      <w:proofErr w:type="spellEnd"/>
      <w:r w:rsidRPr="00652A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норматив расхода тепловой энергии, используемой на нагрев ГВС</w:t>
      </w:r>
    </w:p>
    <w:p w:rsidR="00E508CC" w:rsidRPr="00652A62" w:rsidRDefault="00E508CC" w:rsidP="00652A62">
      <w:pPr>
        <w:jc w:val="both"/>
        <w:rPr>
          <w:rFonts w:ascii="Times New Roman" w:hAnsi="Times New Roman" w:cs="Times New Roman"/>
        </w:rPr>
      </w:pPr>
    </w:p>
    <w:sectPr w:rsidR="00E508CC" w:rsidRPr="00652A62" w:rsidSect="00652A62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62"/>
    <w:rsid w:val="00652A62"/>
    <w:rsid w:val="00CD4B45"/>
    <w:rsid w:val="00E21E4E"/>
    <w:rsid w:val="00E5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A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0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F5F5"/>
                                    <w:left w:val="single" w:sz="6" w:space="0" w:color="E0F5F5"/>
                                    <w:bottom w:val="single" w:sz="6" w:space="0" w:color="E0F5F5"/>
                                    <w:right w:val="single" w:sz="6" w:space="0" w:color="E0F5F5"/>
                                  </w:divBdr>
                                  <w:divsChild>
                                    <w:div w:id="29479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F5F5"/>
                                            <w:left w:val="none" w:sz="0" w:space="0" w:color="auto"/>
                                            <w:bottom w:val="single" w:sz="6" w:space="0" w:color="E0F5F5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0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2019-03-12T06:44:00Z</dcterms:created>
  <dcterms:modified xsi:type="dcterms:W3CDTF">2019-03-12T06:45:00Z</dcterms:modified>
</cp:coreProperties>
</file>